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C7E22" w14:textId="77777777" w:rsidR="00E6471E" w:rsidRDefault="009360EE">
      <w:pPr>
        <w:keepNext/>
        <w:jc w:val="left"/>
        <w:rPr>
          <w:rFonts w:ascii="Arial" w:eastAsia="Arial" w:hAnsi="Arial"/>
          <w:b/>
          <w:sz w:val="36"/>
          <w:szCs w:val="36"/>
        </w:rPr>
      </w:pPr>
      <w:r>
        <w:rPr>
          <w:rFonts w:ascii="Arial" w:eastAsia="Arial" w:hAnsi="Arial"/>
          <w:b/>
          <w:sz w:val="36"/>
          <w:szCs w:val="36"/>
        </w:rPr>
        <w:t>Call-Off Schedule 16 (Benchmarking)</w:t>
      </w:r>
    </w:p>
    <w:p w14:paraId="23FFBDD0" w14:textId="77777777" w:rsidR="00E6471E" w:rsidRDefault="009360EE">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14:paraId="252197C6" w14:textId="77777777" w:rsidR="00E6471E" w:rsidRDefault="009360EE">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
        <w:tblW w:w="8042" w:type="dxa"/>
        <w:tblInd w:w="893" w:type="dxa"/>
        <w:tblLayout w:type="fixed"/>
        <w:tblLook w:val="0400" w:firstRow="0" w:lastRow="0" w:firstColumn="0" w:lastColumn="0" w:noHBand="0" w:noVBand="1"/>
      </w:tblPr>
      <w:tblGrid>
        <w:gridCol w:w="2900"/>
        <w:gridCol w:w="5142"/>
      </w:tblGrid>
      <w:tr w:rsidR="00E6471E" w14:paraId="0EF47E61" w14:textId="77777777">
        <w:tc>
          <w:tcPr>
            <w:tcW w:w="2900" w:type="dxa"/>
            <w:shd w:val="clear" w:color="auto" w:fill="auto"/>
          </w:tcPr>
          <w:p w14:paraId="14C85E26" w14:textId="77777777" w:rsidR="00E6471E" w:rsidRDefault="009360E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Pr>
          <w:p w14:paraId="65D09BC3" w14:textId="77777777" w:rsidR="00E6471E" w:rsidRDefault="009360EE">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E6471E" w14:paraId="26D911A9" w14:textId="77777777">
        <w:tc>
          <w:tcPr>
            <w:tcW w:w="2900" w:type="dxa"/>
            <w:shd w:val="clear" w:color="auto" w:fill="auto"/>
          </w:tcPr>
          <w:p w14:paraId="54A1105A" w14:textId="77777777" w:rsidR="00E6471E" w:rsidRDefault="009360E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14:paraId="41FD209D" w14:textId="77777777" w:rsidR="00E6471E" w:rsidRDefault="009360EE">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E6471E" w14:paraId="3C7F6D78" w14:textId="77777777">
        <w:tc>
          <w:tcPr>
            <w:tcW w:w="2900" w:type="dxa"/>
            <w:shd w:val="clear" w:color="auto" w:fill="auto"/>
          </w:tcPr>
          <w:p w14:paraId="70874613" w14:textId="77777777" w:rsidR="00E6471E" w:rsidRDefault="009360E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14:paraId="10984443" w14:textId="77777777" w:rsidR="00E6471E" w:rsidRDefault="009360EE">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Charges for Comparable Deliverables;</w:t>
            </w:r>
          </w:p>
        </w:tc>
      </w:tr>
      <w:tr w:rsidR="00E6471E" w14:paraId="718E90FE" w14:textId="77777777">
        <w:tc>
          <w:tcPr>
            <w:tcW w:w="2900" w:type="dxa"/>
            <w:shd w:val="clear" w:color="auto" w:fill="auto"/>
          </w:tcPr>
          <w:p w14:paraId="7F977818" w14:textId="77777777" w:rsidR="00E6471E" w:rsidRDefault="009360E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14:paraId="70E7394F" w14:textId="77777777" w:rsidR="00E6471E" w:rsidRDefault="009360EE">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deliverables that are identical or materially </w:t>
            </w:r>
            <w:proofErr w:type="gramStart"/>
            <w:r>
              <w:rPr>
                <w:rFonts w:ascii="Arial" w:eastAsia="Arial" w:hAnsi="Arial"/>
                <w:color w:val="000000"/>
                <w:sz w:val="24"/>
                <w:szCs w:val="24"/>
              </w:rPr>
              <w:t>similar to</w:t>
            </w:r>
            <w:proofErr w:type="gramEnd"/>
            <w:r>
              <w:rPr>
                <w:rFonts w:ascii="Arial" w:eastAsia="Arial" w:hAnsi="Arial"/>
                <w:color w:val="000000"/>
                <w:sz w:val="24"/>
                <w:szCs w:val="24"/>
              </w:rPr>
              <w:t xml:space="preserve">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E6471E" w14:paraId="5D3606A9" w14:textId="77777777">
        <w:tc>
          <w:tcPr>
            <w:tcW w:w="2900" w:type="dxa"/>
            <w:shd w:val="clear" w:color="auto" w:fill="auto"/>
          </w:tcPr>
          <w:p w14:paraId="055D65E0" w14:textId="77777777" w:rsidR="00E6471E" w:rsidRDefault="009360E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14:paraId="6B19F0C1" w14:textId="77777777" w:rsidR="00E6471E" w:rsidRDefault="009360EE">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a sample group of organisations providing Comparable Deliverables which consists of organisations which are either of similar size to the Supplier or which are similarly structured in terms of their business and their service offering </w:t>
            </w:r>
            <w:proofErr w:type="gramStart"/>
            <w:r>
              <w:rPr>
                <w:rFonts w:ascii="Arial" w:eastAsia="Arial" w:hAnsi="Arial"/>
                <w:color w:val="000000"/>
                <w:sz w:val="24"/>
                <w:szCs w:val="24"/>
              </w:rPr>
              <w:t>so as to</w:t>
            </w:r>
            <w:proofErr w:type="gramEnd"/>
            <w:r>
              <w:rPr>
                <w:rFonts w:ascii="Arial" w:eastAsia="Arial" w:hAnsi="Arial"/>
                <w:color w:val="000000"/>
                <w:sz w:val="24"/>
                <w:szCs w:val="24"/>
              </w:rPr>
              <w:t xml:space="preserve"> be fair comparators with the Supplier or which, are best practice organisations;</w:t>
            </w:r>
          </w:p>
        </w:tc>
      </w:tr>
      <w:tr w:rsidR="00E6471E" w14:paraId="34845A84" w14:textId="77777777">
        <w:tc>
          <w:tcPr>
            <w:tcW w:w="2900" w:type="dxa"/>
            <w:shd w:val="clear" w:color="auto" w:fill="auto"/>
          </w:tcPr>
          <w:p w14:paraId="7CAA669F" w14:textId="77777777" w:rsidR="00E6471E" w:rsidRDefault="009360E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14:paraId="302FCAD0" w14:textId="77777777" w:rsidR="00E6471E" w:rsidRDefault="009360EE">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data derived from an analysis of the Comparable Rates and/or the Comparable Deliverables (as applicable) provided by the Comparison Group;</w:t>
            </w:r>
          </w:p>
        </w:tc>
      </w:tr>
      <w:tr w:rsidR="00E6471E" w14:paraId="242AD5BD" w14:textId="77777777">
        <w:tc>
          <w:tcPr>
            <w:tcW w:w="2900" w:type="dxa"/>
            <w:shd w:val="clear" w:color="auto" w:fill="auto"/>
          </w:tcPr>
          <w:p w14:paraId="54914255" w14:textId="77777777" w:rsidR="00E6471E" w:rsidRDefault="009360E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14:paraId="63AAA28D" w14:textId="77777777" w:rsidR="00E6471E" w:rsidRDefault="009360EE">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E6471E" w14:paraId="7B56B6BC" w14:textId="77777777">
        <w:tc>
          <w:tcPr>
            <w:tcW w:w="2900" w:type="dxa"/>
            <w:shd w:val="clear" w:color="auto" w:fill="auto"/>
          </w:tcPr>
          <w:p w14:paraId="1A567753" w14:textId="77777777" w:rsidR="00E6471E" w:rsidRDefault="009360E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"Upper Quartile"</w:t>
            </w:r>
          </w:p>
        </w:tc>
        <w:tc>
          <w:tcPr>
            <w:tcW w:w="5142" w:type="dxa"/>
            <w:shd w:val="clear" w:color="auto" w:fill="auto"/>
          </w:tcPr>
          <w:p w14:paraId="022C5F75" w14:textId="77777777" w:rsidR="00E6471E" w:rsidRDefault="009360EE">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48AD4315" w14:textId="77777777" w:rsidR="00E6471E" w:rsidRDefault="009360EE">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14:paraId="39F3660E" w14:textId="77777777" w:rsidR="00E6471E" w:rsidRDefault="009360EE">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14:paraId="499EF05E" w14:textId="77777777" w:rsidR="00E6471E" w:rsidRDefault="009360EE">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14:paraId="71781259" w14:textId="77777777" w:rsidR="00E6471E" w:rsidRDefault="009360EE">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of a Cost.</w:t>
      </w:r>
    </w:p>
    <w:p w14:paraId="2664D61F" w14:textId="77777777" w:rsidR="00E6471E" w:rsidRDefault="009360EE">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14:paraId="05772B6C" w14:textId="77777777" w:rsidR="00E6471E" w:rsidRDefault="009360EE">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How benchmarking works</w:t>
      </w:r>
    </w:p>
    <w:p w14:paraId="47C97EA3" w14:textId="77777777" w:rsidR="00E6471E" w:rsidRDefault="009360EE">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180C1A18" w14:textId="77777777" w:rsidR="00E6471E" w:rsidRDefault="009360EE">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may, by written notice to the Supplier, require a Benchmark Review of any or </w:t>
      </w:r>
      <w:proofErr w:type="gramStart"/>
      <w:r>
        <w:rPr>
          <w:rFonts w:ascii="Arial" w:eastAsia="Arial" w:hAnsi="Arial"/>
          <w:color w:val="000000"/>
          <w:sz w:val="24"/>
          <w:szCs w:val="24"/>
        </w:rPr>
        <w:t>all of</w:t>
      </w:r>
      <w:proofErr w:type="gramEnd"/>
      <w:r>
        <w:rPr>
          <w:rFonts w:ascii="Arial" w:eastAsia="Arial" w:hAnsi="Arial"/>
          <w:color w:val="000000"/>
          <w:sz w:val="24"/>
          <w:szCs w:val="24"/>
        </w:rPr>
        <w:t xml:space="preserve"> the Deliverables.</w:t>
      </w:r>
    </w:p>
    <w:p w14:paraId="2351CD42" w14:textId="77777777" w:rsidR="00E6471E" w:rsidRDefault="009360EE">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143C1BD8" w14:textId="77777777" w:rsidR="00E6471E" w:rsidRDefault="009360EE">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purpose of a Benchmark Review will be to establish whether the Benchmarked Deliverables are, individually </w:t>
      </w:r>
      <w:proofErr w:type="gramStart"/>
      <w:r>
        <w:rPr>
          <w:rFonts w:ascii="Arial" w:eastAsia="Arial" w:hAnsi="Arial"/>
          <w:color w:val="000000"/>
          <w:sz w:val="24"/>
          <w:szCs w:val="24"/>
        </w:rPr>
        <w:t>and/or as a whole, Good</w:t>
      </w:r>
      <w:proofErr w:type="gramEnd"/>
      <w:r>
        <w:rPr>
          <w:rFonts w:ascii="Arial" w:eastAsia="Arial" w:hAnsi="Arial"/>
          <w:color w:val="000000"/>
          <w:sz w:val="24"/>
          <w:szCs w:val="24"/>
        </w:rPr>
        <w:t xml:space="preserve"> Value.</w:t>
      </w:r>
    </w:p>
    <w:p w14:paraId="6104F027" w14:textId="77777777" w:rsidR="00E6471E" w:rsidRDefault="009360EE">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writing.</w:t>
      </w:r>
    </w:p>
    <w:p w14:paraId="157DFB56" w14:textId="77777777" w:rsidR="00E6471E" w:rsidRDefault="009360EE">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Upon its request for a Benchmark Review the Buyer shall nominate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The Supplier must approve the nomination within ten (10) Working Days unless the Supplier provides a reasonable explanation for rejecting the appointment.   If the appointment is </w:t>
      </w:r>
      <w:proofErr w:type="gramStart"/>
      <w:r>
        <w:rPr>
          <w:rFonts w:ascii="Arial" w:eastAsia="Arial" w:hAnsi="Arial"/>
          <w:color w:val="000000"/>
          <w:sz w:val="24"/>
          <w:szCs w:val="24"/>
        </w:rPr>
        <w:t>rejected</w:t>
      </w:r>
      <w:proofErr w:type="gramEnd"/>
      <w:r>
        <w:rPr>
          <w:rFonts w:ascii="Arial" w:eastAsia="Arial" w:hAnsi="Arial"/>
          <w:color w:val="000000"/>
          <w:sz w:val="24"/>
          <w:szCs w:val="24"/>
        </w:rPr>
        <w:t xml:space="preserve"> then the Buyer may propose an alternative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If the Parties cannot agree the appointment within twenty (20) days of the initial request for Benchmark </w:t>
      </w:r>
      <w:proofErr w:type="gramStart"/>
      <w:r>
        <w:rPr>
          <w:rFonts w:ascii="Arial" w:eastAsia="Arial" w:hAnsi="Arial"/>
          <w:color w:val="000000"/>
          <w:sz w:val="24"/>
          <w:szCs w:val="24"/>
        </w:rPr>
        <w:t>review</w:t>
      </w:r>
      <w:proofErr w:type="gramEnd"/>
      <w:r>
        <w:rPr>
          <w:rFonts w:ascii="Arial" w:eastAsia="Arial" w:hAnsi="Arial"/>
          <w:color w:val="000000"/>
          <w:sz w:val="24"/>
          <w:szCs w:val="24"/>
        </w:rPr>
        <w:t xml:space="preserve"> then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selected by the Chartered Institute of Financial Accountants. </w:t>
      </w:r>
    </w:p>
    <w:p w14:paraId="1D1FCCB0" w14:textId="77777777" w:rsidR="00E6471E" w:rsidRDefault="009360EE">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cost of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w:t>
      </w:r>
      <w:r>
        <w:rPr>
          <w:rFonts w:ascii="Arial" w:eastAsia="Arial" w:hAnsi="Arial"/>
          <w:color w:val="000000"/>
          <w:sz w:val="24"/>
          <w:szCs w:val="24"/>
        </w:rPr>
        <w:lastRenderedPageBreak/>
        <w:t xml:space="preserve">the Parties shall share the cost of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such proportions as the Parties agree (acting reasonably). Invoices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raised against the Supplier and the relevant portion shall be reimbursed by the Buyer.</w:t>
      </w:r>
    </w:p>
    <w:p w14:paraId="67FC497C" w14:textId="77777777" w:rsidR="00E6471E" w:rsidRDefault="009360EE">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Benchmarking Process</w:t>
      </w:r>
    </w:p>
    <w:p w14:paraId="549C1A2C" w14:textId="77777777" w:rsidR="00E6471E" w:rsidRDefault="009360EE">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produce and send to the Buyer, for Approval, a draft plan for the Benchmark Review which must include:</w:t>
      </w:r>
    </w:p>
    <w:p w14:paraId="03A4FB0E" w14:textId="77777777" w:rsidR="00E6471E" w:rsidRDefault="009360EE">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a proposed cost and timetable for the Benchmark </w:t>
      </w:r>
      <w:proofErr w:type="gramStart"/>
      <w:r>
        <w:rPr>
          <w:rFonts w:ascii="Arial" w:eastAsia="Arial" w:hAnsi="Arial"/>
          <w:color w:val="000000"/>
          <w:sz w:val="24"/>
          <w:szCs w:val="24"/>
        </w:rPr>
        <w:t>Review;</w:t>
      </w:r>
      <w:proofErr w:type="gramEnd"/>
    </w:p>
    <w:p w14:paraId="6B3FFF3B" w14:textId="77777777" w:rsidR="00E6471E" w:rsidRDefault="009360EE">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a description of the benchmarking methodology to be used which must demonstrate that the methodology to be used </w:t>
      </w:r>
      <w:proofErr w:type="gramStart"/>
      <w:r>
        <w:rPr>
          <w:rFonts w:ascii="Arial" w:eastAsia="Arial" w:hAnsi="Arial"/>
          <w:color w:val="000000"/>
          <w:sz w:val="24"/>
          <w:szCs w:val="24"/>
        </w:rPr>
        <w:t>is capable of fulfilling</w:t>
      </w:r>
      <w:proofErr w:type="gramEnd"/>
      <w:r>
        <w:rPr>
          <w:rFonts w:ascii="Arial" w:eastAsia="Arial" w:hAnsi="Arial"/>
          <w:color w:val="000000"/>
          <w:sz w:val="24"/>
          <w:szCs w:val="24"/>
        </w:rPr>
        <w:t xml:space="preserve"> the benchmarking purpose; and</w:t>
      </w:r>
    </w:p>
    <w:p w14:paraId="112F6EA7" w14:textId="77777777" w:rsidR="00E6471E" w:rsidRDefault="009360EE">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a description of how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will scope and identify the Comparison Group. </w:t>
      </w:r>
    </w:p>
    <w:p w14:paraId="63B4A5A7" w14:textId="77777777" w:rsidR="00E6471E" w:rsidRDefault="009360EE">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acting reasonably, shall be entitled to use any model to determine the achievement of value for money and to carry out the benchmarking. </w:t>
      </w:r>
    </w:p>
    <w:p w14:paraId="2443DF39" w14:textId="77777777" w:rsidR="00E6471E" w:rsidRDefault="009360EE">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Buyer must give notice in writing to the Supplier within ten (10) Working Days after receiving the draft plan, advising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and the Supplier whether it Approves the draft plan, or, if it does not approve the draft plan, suggesting amendments to that plan (which must be reasonable). If amendments are </w:t>
      </w:r>
      <w:proofErr w:type="gramStart"/>
      <w:r>
        <w:rPr>
          <w:rFonts w:ascii="Arial" w:eastAsia="Arial" w:hAnsi="Arial"/>
          <w:color w:val="000000"/>
          <w:sz w:val="24"/>
          <w:szCs w:val="24"/>
        </w:rPr>
        <w:t>suggested</w:t>
      </w:r>
      <w:proofErr w:type="gramEnd"/>
      <w:r>
        <w:rPr>
          <w:rFonts w:ascii="Arial" w:eastAsia="Arial" w:hAnsi="Arial"/>
          <w:color w:val="000000"/>
          <w:sz w:val="24"/>
          <w:szCs w:val="24"/>
        </w:rPr>
        <w:t xml:space="preserve"> then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must produce an amended draft plan and this Paragraph 3.2.3 shall apply to any amended draft plan.</w:t>
      </w:r>
    </w:p>
    <w:p w14:paraId="5AD7423B" w14:textId="77777777" w:rsidR="00E6471E" w:rsidRDefault="009360EE">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both Parties have approved the draft plan then they will notify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No Party may unreasonably withhold or delay its Approval of the draft plan.</w:t>
      </w:r>
    </w:p>
    <w:p w14:paraId="0F14B7F0" w14:textId="77777777" w:rsidR="00E6471E" w:rsidRDefault="009360EE">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it has received the Approval of the draft plan,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w:t>
      </w:r>
    </w:p>
    <w:p w14:paraId="28E1383F" w14:textId="77777777" w:rsidR="00E6471E" w:rsidRDefault="009360EE">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14:paraId="63379C5B" w14:textId="77777777" w:rsidR="00E6471E" w:rsidRDefault="009360EE" w:rsidP="009E5CA9">
      <w:pPr>
        <w:numPr>
          <w:ilvl w:val="4"/>
          <w:numId w:val="1"/>
        </w:numPr>
        <w:pBdr>
          <w:top w:val="nil"/>
          <w:left w:val="nil"/>
          <w:bottom w:val="nil"/>
          <w:right w:val="nil"/>
          <w:between w:val="nil"/>
        </w:pBdr>
        <w:tabs>
          <w:tab w:val="left" w:pos="3119"/>
        </w:tabs>
        <w:spacing w:before="120" w:after="120"/>
        <w:ind w:left="3119" w:hanging="567"/>
        <w:jc w:val="left"/>
        <w:rPr>
          <w:rFonts w:ascii="Arial" w:eastAsia="Arial" w:hAnsi="Arial"/>
          <w:color w:val="000000"/>
          <w:sz w:val="24"/>
          <w:szCs w:val="24"/>
        </w:rPr>
      </w:pPr>
      <w:r>
        <w:rPr>
          <w:rFonts w:ascii="Arial" w:eastAsia="Arial" w:hAnsi="Arial"/>
          <w:color w:val="000000"/>
          <w:sz w:val="24"/>
          <w:szCs w:val="24"/>
        </w:rPr>
        <w:t xml:space="preserve">market </w:t>
      </w:r>
      <w:proofErr w:type="gramStart"/>
      <w:r>
        <w:rPr>
          <w:rFonts w:ascii="Arial" w:eastAsia="Arial" w:hAnsi="Arial"/>
          <w:color w:val="000000"/>
          <w:sz w:val="24"/>
          <w:szCs w:val="24"/>
        </w:rPr>
        <w:t>intelligence;</w:t>
      </w:r>
      <w:proofErr w:type="gramEnd"/>
    </w:p>
    <w:p w14:paraId="6776363C" w14:textId="77777777" w:rsidR="00E6471E" w:rsidRDefault="009360EE" w:rsidP="009E5CA9">
      <w:pPr>
        <w:numPr>
          <w:ilvl w:val="4"/>
          <w:numId w:val="1"/>
        </w:numPr>
        <w:pBdr>
          <w:top w:val="nil"/>
          <w:left w:val="nil"/>
          <w:bottom w:val="nil"/>
          <w:right w:val="nil"/>
          <w:between w:val="nil"/>
        </w:pBdr>
        <w:tabs>
          <w:tab w:val="left" w:pos="3119"/>
        </w:tabs>
        <w:spacing w:before="120" w:after="120"/>
        <w:ind w:left="3119" w:hanging="567"/>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benchmarker’s</w:t>
      </w:r>
      <w:proofErr w:type="spellEnd"/>
      <w:r>
        <w:rPr>
          <w:rFonts w:ascii="Arial" w:eastAsia="Arial" w:hAnsi="Arial"/>
          <w:color w:val="000000"/>
          <w:sz w:val="24"/>
          <w:szCs w:val="24"/>
        </w:rPr>
        <w:t xml:space="preserve"> own data and </w:t>
      </w:r>
      <w:proofErr w:type="gramStart"/>
      <w:r>
        <w:rPr>
          <w:rFonts w:ascii="Arial" w:eastAsia="Arial" w:hAnsi="Arial"/>
          <w:color w:val="000000"/>
          <w:sz w:val="24"/>
          <w:szCs w:val="24"/>
        </w:rPr>
        <w:t>experience;</w:t>
      </w:r>
      <w:proofErr w:type="gramEnd"/>
    </w:p>
    <w:p w14:paraId="3D0B7A35" w14:textId="77777777" w:rsidR="00E6471E" w:rsidRDefault="009360EE" w:rsidP="009E5CA9">
      <w:pPr>
        <w:numPr>
          <w:ilvl w:val="4"/>
          <w:numId w:val="1"/>
        </w:numPr>
        <w:pBdr>
          <w:top w:val="nil"/>
          <w:left w:val="nil"/>
          <w:bottom w:val="nil"/>
          <w:right w:val="nil"/>
          <w:between w:val="nil"/>
        </w:pBdr>
        <w:tabs>
          <w:tab w:val="left" w:pos="3119"/>
        </w:tabs>
        <w:spacing w:before="120" w:after="120"/>
        <w:ind w:left="3119" w:hanging="567"/>
        <w:jc w:val="left"/>
        <w:rPr>
          <w:rFonts w:ascii="Arial" w:eastAsia="Arial" w:hAnsi="Arial"/>
          <w:color w:val="000000"/>
          <w:sz w:val="24"/>
          <w:szCs w:val="24"/>
        </w:rPr>
      </w:pPr>
      <w:r>
        <w:rPr>
          <w:rFonts w:ascii="Arial" w:eastAsia="Arial" w:hAnsi="Arial"/>
          <w:color w:val="000000"/>
          <w:sz w:val="24"/>
          <w:szCs w:val="24"/>
        </w:rPr>
        <w:t>relevant published information; and</w:t>
      </w:r>
    </w:p>
    <w:p w14:paraId="7C5C17FF" w14:textId="77777777" w:rsidR="00E6471E" w:rsidRDefault="009360EE" w:rsidP="009E5CA9">
      <w:pPr>
        <w:numPr>
          <w:ilvl w:val="4"/>
          <w:numId w:val="1"/>
        </w:numPr>
        <w:pBdr>
          <w:top w:val="nil"/>
          <w:left w:val="nil"/>
          <w:bottom w:val="nil"/>
          <w:right w:val="nil"/>
          <w:between w:val="nil"/>
        </w:pBdr>
        <w:tabs>
          <w:tab w:val="left" w:pos="3119"/>
        </w:tabs>
        <w:spacing w:before="120" w:after="120"/>
        <w:ind w:left="3119" w:hanging="567"/>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pursuant to Paragraph </w:t>
      </w:r>
      <w:proofErr w:type="gramStart"/>
      <w:r>
        <w:rPr>
          <w:rFonts w:ascii="Arial" w:eastAsia="Arial" w:hAnsi="Arial"/>
          <w:color w:val="000000"/>
          <w:sz w:val="24"/>
          <w:szCs w:val="24"/>
        </w:rPr>
        <w:t>3.2.6  below</w:t>
      </w:r>
      <w:proofErr w:type="gramEnd"/>
      <w:r>
        <w:rPr>
          <w:rFonts w:ascii="Arial" w:eastAsia="Arial" w:hAnsi="Arial"/>
          <w:color w:val="000000"/>
          <w:sz w:val="24"/>
          <w:szCs w:val="24"/>
        </w:rPr>
        <w:t>, information from other suppliers or purchasers on Comparable Rates;</w:t>
      </w:r>
    </w:p>
    <w:p w14:paraId="74117C2F" w14:textId="77777777" w:rsidR="00E6471E" w:rsidRDefault="009360EE">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by applying the adjustment factors listed in Paragraph 3.2.7 and from an analysis of the Comparable Rates, derive the Equivalent </w:t>
      </w:r>
      <w:proofErr w:type="gramStart"/>
      <w:r>
        <w:rPr>
          <w:rFonts w:ascii="Arial" w:eastAsia="Arial" w:hAnsi="Arial"/>
          <w:color w:val="000000"/>
          <w:sz w:val="24"/>
          <w:szCs w:val="24"/>
        </w:rPr>
        <w:t>Data;</w:t>
      </w:r>
      <w:proofErr w:type="gramEnd"/>
    </w:p>
    <w:p w14:paraId="5DD5FC4D" w14:textId="77777777" w:rsidR="00E6471E" w:rsidRDefault="009360EE">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using the Equivalent Data, calculate the Upper </w:t>
      </w:r>
      <w:proofErr w:type="gramStart"/>
      <w:r>
        <w:rPr>
          <w:rFonts w:ascii="Arial" w:eastAsia="Arial" w:hAnsi="Arial"/>
          <w:color w:val="000000"/>
          <w:sz w:val="24"/>
          <w:szCs w:val="24"/>
        </w:rPr>
        <w:t>Quartile;</w:t>
      </w:r>
      <w:proofErr w:type="gramEnd"/>
    </w:p>
    <w:p w14:paraId="753CFF18" w14:textId="77777777" w:rsidR="00E6471E" w:rsidRDefault="009360EE">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determine </w:t>
      </w:r>
      <w:proofErr w:type="gramStart"/>
      <w:r>
        <w:rPr>
          <w:rFonts w:ascii="Arial" w:eastAsia="Arial" w:hAnsi="Arial"/>
          <w:color w:val="000000"/>
          <w:sz w:val="24"/>
          <w:szCs w:val="24"/>
        </w:rPr>
        <w:t>whether or not</w:t>
      </w:r>
      <w:proofErr w:type="gramEnd"/>
      <w:r>
        <w:rPr>
          <w:rFonts w:ascii="Arial" w:eastAsia="Arial" w:hAnsi="Arial"/>
          <w:color w:val="000000"/>
          <w:sz w:val="24"/>
          <w:szCs w:val="24"/>
        </w:rPr>
        <w:t xml:space="preserve"> each Benchmarked Rate is, and/or the Benchmarked Rates as a whole are, Good Value.</w:t>
      </w:r>
    </w:p>
    <w:p w14:paraId="401335DA" w14:textId="77777777" w:rsidR="00E6471E" w:rsidRDefault="009360EE">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The Supplier shall use all reasonable endeavours and act in good faith to supply information required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w:t>
      </w:r>
      <w:proofErr w:type="gramStart"/>
      <w:r>
        <w:rPr>
          <w:rFonts w:ascii="Arial" w:eastAsia="Arial" w:hAnsi="Arial"/>
          <w:color w:val="000000"/>
          <w:sz w:val="24"/>
          <w:szCs w:val="24"/>
        </w:rPr>
        <w:t>in order to</w:t>
      </w:r>
      <w:proofErr w:type="gramEnd"/>
      <w:r>
        <w:rPr>
          <w:rFonts w:ascii="Arial" w:eastAsia="Arial" w:hAnsi="Arial"/>
          <w:color w:val="000000"/>
          <w:sz w:val="24"/>
          <w:szCs w:val="24"/>
        </w:rPr>
        <w:t xml:space="preserve"> undertake the benchmarking.  The Supplier agrees to use its reasonable endeavours to obtain information from other suppliers or purchasers on Comparable Rates.</w:t>
      </w:r>
    </w:p>
    <w:p w14:paraId="3C05C908" w14:textId="77777777" w:rsidR="00E6471E" w:rsidRDefault="009360EE">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In carrying out the benchmarking analysis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may have regard to the following matters when performing a comparative assessment of the Benchmarked Rates and the Comparable Rates </w:t>
      </w:r>
      <w:proofErr w:type="gramStart"/>
      <w:r>
        <w:rPr>
          <w:rFonts w:ascii="Arial" w:eastAsia="Arial" w:hAnsi="Arial"/>
          <w:color w:val="000000"/>
          <w:sz w:val="24"/>
          <w:szCs w:val="24"/>
        </w:rPr>
        <w:t>in order to</w:t>
      </w:r>
      <w:proofErr w:type="gramEnd"/>
      <w:r>
        <w:rPr>
          <w:rFonts w:ascii="Arial" w:eastAsia="Arial" w:hAnsi="Arial"/>
          <w:color w:val="000000"/>
          <w:sz w:val="24"/>
          <w:szCs w:val="24"/>
        </w:rPr>
        <w:t xml:space="preserve"> derive Equivalent Data:</w:t>
      </w:r>
    </w:p>
    <w:p w14:paraId="44FE13C5" w14:textId="77777777" w:rsidR="00E6471E" w:rsidRDefault="009360EE">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roofErr w:type="gramStart"/>
      <w:r>
        <w:rPr>
          <w:rFonts w:ascii="Arial" w:eastAsia="Arial" w:hAnsi="Arial"/>
          <w:color w:val="000000"/>
          <w:sz w:val="24"/>
          <w:szCs w:val="24"/>
        </w:rPr>
        <w:t>);</w:t>
      </w:r>
      <w:proofErr w:type="gramEnd"/>
    </w:p>
    <w:p w14:paraId="62493A91" w14:textId="77777777" w:rsidR="00E6471E" w:rsidRDefault="009360EE">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exchange </w:t>
      </w:r>
      <w:proofErr w:type="gramStart"/>
      <w:r>
        <w:rPr>
          <w:rFonts w:ascii="Arial" w:eastAsia="Arial" w:hAnsi="Arial"/>
          <w:color w:val="000000"/>
          <w:sz w:val="24"/>
          <w:szCs w:val="24"/>
        </w:rPr>
        <w:t>rates;</w:t>
      </w:r>
      <w:proofErr w:type="gramEnd"/>
    </w:p>
    <w:p w14:paraId="2E58A9E3" w14:textId="77777777" w:rsidR="00E6471E" w:rsidRDefault="009360EE">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any other factors reasonably identified by the Supplier, which, if not taken into consideration, could unfairly cause the Supplier's pricing to appear non-competitive.</w:t>
      </w:r>
    </w:p>
    <w:p w14:paraId="1A7A41CF" w14:textId="77777777" w:rsidR="00E6471E" w:rsidRDefault="009360EE">
      <w:pPr>
        <w:keepNext/>
        <w:numPr>
          <w:ilvl w:val="1"/>
          <w:numId w:val="1"/>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Pr>
          <w:rFonts w:ascii="Arial" w:eastAsia="Arial" w:hAnsi="Arial"/>
          <w:b/>
          <w:color w:val="000000"/>
          <w:sz w:val="24"/>
          <w:szCs w:val="24"/>
        </w:rPr>
        <w:t>Benchmarking Report</w:t>
      </w:r>
    </w:p>
    <w:p w14:paraId="5F3B5B98" w14:textId="77777777" w:rsidR="00E6471E" w:rsidRDefault="009360EE">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following the Benchmark Review and as further described in this </w:t>
      </w:r>
      <w:proofErr w:type="gramStart"/>
      <w:r>
        <w:rPr>
          <w:rFonts w:ascii="Arial" w:eastAsia="Arial" w:hAnsi="Arial"/>
          <w:color w:val="000000"/>
          <w:sz w:val="24"/>
          <w:szCs w:val="24"/>
        </w:rPr>
        <w:t>Schedule;</w:t>
      </w:r>
      <w:proofErr w:type="gramEnd"/>
    </w:p>
    <w:p w14:paraId="0335B54F" w14:textId="77777777" w:rsidR="00E6471E" w:rsidRDefault="009360EE">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prepare a Benchmarking Report and deliver it to the Buyer, at the time specified in the plan Approved pursuant to Paragraph 3.2.3, setting out its findings.  Those findings shall be required to:</w:t>
      </w:r>
    </w:p>
    <w:p w14:paraId="3E793812" w14:textId="77777777" w:rsidR="00E6471E" w:rsidRDefault="009360EE">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include a finding as to whether or not a Benchmarked Service and/or whether the Benchmarked Deliverables as a whole are, Good </w:t>
      </w:r>
      <w:proofErr w:type="gramStart"/>
      <w:r>
        <w:rPr>
          <w:rFonts w:ascii="Arial" w:eastAsia="Arial" w:hAnsi="Arial"/>
          <w:color w:val="000000"/>
          <w:sz w:val="24"/>
          <w:szCs w:val="24"/>
        </w:rPr>
        <w:t>Value;</w:t>
      </w:r>
      <w:proofErr w:type="gramEnd"/>
    </w:p>
    <w:p w14:paraId="4B68D000" w14:textId="77777777" w:rsidR="00E6471E" w:rsidRDefault="009360EE">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w:t>
      </w:r>
      <w:proofErr w:type="gramStart"/>
      <w:r>
        <w:rPr>
          <w:rFonts w:ascii="Arial" w:eastAsia="Arial" w:hAnsi="Arial"/>
          <w:color w:val="000000"/>
          <w:sz w:val="24"/>
          <w:szCs w:val="24"/>
        </w:rPr>
        <w:t>or as a whole, not</w:t>
      </w:r>
      <w:proofErr w:type="gramEnd"/>
      <w:r>
        <w:rPr>
          <w:rFonts w:ascii="Arial" w:eastAsia="Arial" w:hAnsi="Arial"/>
          <w:color w:val="000000"/>
          <w:sz w:val="24"/>
          <w:szCs w:val="24"/>
        </w:rPr>
        <w:t xml:space="preserve"> Good Value, specify the changes that would be required to make that Benchmarked Service or the Benchmarked Deliverables as a whole Good Value; and </w:t>
      </w:r>
    </w:p>
    <w:p w14:paraId="0F006918" w14:textId="77777777" w:rsidR="00E6471E" w:rsidRDefault="009360EE">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include sufficient detail and transparency so that the Party requesting the Benchmarking can interpret and understand how the Supplier has calculated </w:t>
      </w:r>
      <w:proofErr w:type="gramStart"/>
      <w:r>
        <w:rPr>
          <w:rFonts w:ascii="Arial" w:eastAsia="Arial" w:hAnsi="Arial"/>
          <w:color w:val="000000"/>
          <w:sz w:val="24"/>
          <w:szCs w:val="24"/>
        </w:rPr>
        <w:t>whether or not</w:t>
      </w:r>
      <w:proofErr w:type="gramEnd"/>
      <w:r>
        <w:rPr>
          <w:rFonts w:ascii="Arial" w:eastAsia="Arial" w:hAnsi="Arial"/>
          <w:color w:val="000000"/>
          <w:sz w:val="24"/>
          <w:szCs w:val="24"/>
        </w:rPr>
        <w:t xml:space="preserve"> the Benchmarked Deliverables are, individually or as a whole, Good Value.</w:t>
      </w:r>
    </w:p>
    <w:p w14:paraId="06B90FA2" w14:textId="77777777" w:rsidR="00E6471E" w:rsidRDefault="009360EE">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Parties agree that any changes required to this Contract identified in the Benchmarking Report shall be implemented at </w:t>
      </w:r>
      <w:r>
        <w:rPr>
          <w:rFonts w:ascii="Arial" w:eastAsia="Arial" w:hAnsi="Arial"/>
          <w:color w:val="000000"/>
          <w:sz w:val="24"/>
          <w:szCs w:val="24"/>
        </w:rPr>
        <w:lastRenderedPageBreak/>
        <w:t>the direction of the Buyer in accordance with Clause 24 (Changing the contract).</w:t>
      </w:r>
    </w:p>
    <w:p w14:paraId="26E72C80" w14:textId="77777777" w:rsidR="00D45C67" w:rsidRPr="00D45C67" w:rsidRDefault="00D45C67" w:rsidP="00D45C67">
      <w:pPr>
        <w:rPr>
          <w:rFonts w:ascii="Arial" w:eastAsia="Arial" w:hAnsi="Arial"/>
          <w:sz w:val="24"/>
          <w:szCs w:val="24"/>
        </w:rPr>
      </w:pPr>
    </w:p>
    <w:p w14:paraId="3CC00AC5" w14:textId="77777777" w:rsidR="00D45C67" w:rsidRPr="00D45C67" w:rsidRDefault="00D45C67" w:rsidP="00D45C67">
      <w:pPr>
        <w:rPr>
          <w:rFonts w:ascii="Arial" w:eastAsia="Arial" w:hAnsi="Arial"/>
          <w:sz w:val="24"/>
          <w:szCs w:val="24"/>
        </w:rPr>
      </w:pPr>
    </w:p>
    <w:p w14:paraId="30552C07" w14:textId="77777777" w:rsidR="00D45C67" w:rsidRPr="00D45C67" w:rsidRDefault="00D45C67" w:rsidP="00D45C67">
      <w:pPr>
        <w:rPr>
          <w:rFonts w:ascii="Arial" w:eastAsia="Arial" w:hAnsi="Arial"/>
          <w:sz w:val="24"/>
          <w:szCs w:val="24"/>
        </w:rPr>
      </w:pPr>
    </w:p>
    <w:p w14:paraId="26D8A496" w14:textId="77777777" w:rsidR="00D45C67" w:rsidRPr="00D45C67" w:rsidRDefault="00D45C67" w:rsidP="00D45C67">
      <w:pPr>
        <w:rPr>
          <w:rFonts w:ascii="Arial" w:eastAsia="Arial" w:hAnsi="Arial"/>
          <w:sz w:val="24"/>
          <w:szCs w:val="24"/>
        </w:rPr>
      </w:pPr>
    </w:p>
    <w:p w14:paraId="00FBA8EB" w14:textId="77777777" w:rsidR="00D45C67" w:rsidRPr="00D45C67" w:rsidRDefault="00D45C67" w:rsidP="00D45C67">
      <w:pPr>
        <w:rPr>
          <w:rFonts w:ascii="Arial" w:eastAsia="Arial" w:hAnsi="Arial"/>
          <w:sz w:val="24"/>
          <w:szCs w:val="24"/>
        </w:rPr>
      </w:pPr>
    </w:p>
    <w:p w14:paraId="0254B079" w14:textId="77777777" w:rsidR="00D45C67" w:rsidRPr="00D45C67" w:rsidRDefault="00D45C67" w:rsidP="00D45C67">
      <w:pPr>
        <w:rPr>
          <w:rFonts w:ascii="Arial" w:eastAsia="Arial" w:hAnsi="Arial"/>
          <w:sz w:val="24"/>
          <w:szCs w:val="24"/>
        </w:rPr>
      </w:pPr>
    </w:p>
    <w:p w14:paraId="332C2733" w14:textId="77777777" w:rsidR="00D45C67" w:rsidRDefault="00D45C67" w:rsidP="00D45C67">
      <w:pPr>
        <w:rPr>
          <w:rFonts w:ascii="Arial" w:eastAsia="Arial" w:hAnsi="Arial"/>
          <w:color w:val="000000"/>
          <w:sz w:val="24"/>
          <w:szCs w:val="24"/>
        </w:rPr>
      </w:pPr>
    </w:p>
    <w:p w14:paraId="585797A4" w14:textId="77777777" w:rsidR="00D45C67" w:rsidRPr="00D45C67" w:rsidRDefault="00D45C67" w:rsidP="00D45C67">
      <w:pPr>
        <w:rPr>
          <w:rFonts w:ascii="Arial" w:eastAsia="Arial" w:hAnsi="Arial"/>
          <w:sz w:val="24"/>
          <w:szCs w:val="24"/>
        </w:rPr>
      </w:pPr>
    </w:p>
    <w:p w14:paraId="46F43EC7" w14:textId="273C7B98" w:rsidR="00E6471E" w:rsidRDefault="00D45C67" w:rsidP="00D45C67">
      <w:pPr>
        <w:tabs>
          <w:tab w:val="left" w:pos="923"/>
        </w:tabs>
        <w:rPr>
          <w:rFonts w:ascii="Arial" w:eastAsia="Arial" w:hAnsi="Arial"/>
          <w:color w:val="000000"/>
          <w:sz w:val="24"/>
          <w:szCs w:val="24"/>
        </w:rPr>
      </w:pPr>
      <w:r>
        <w:rPr>
          <w:rFonts w:ascii="Arial" w:eastAsia="Arial" w:hAnsi="Arial"/>
          <w:color w:val="000000"/>
          <w:sz w:val="24"/>
          <w:szCs w:val="24"/>
        </w:rPr>
        <w:tab/>
      </w:r>
    </w:p>
    <w:sectPr w:rsidR="00E6471E">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8C2D0" w14:textId="77777777" w:rsidR="009360EE" w:rsidRDefault="009360EE">
      <w:pPr>
        <w:spacing w:after="0"/>
      </w:pPr>
      <w:r>
        <w:separator/>
      </w:r>
    </w:p>
  </w:endnote>
  <w:endnote w:type="continuationSeparator" w:id="0">
    <w:p w14:paraId="457922BD" w14:textId="77777777" w:rsidR="009360EE" w:rsidRDefault="009360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D1891" w14:textId="77777777" w:rsidR="00E6471E" w:rsidRDefault="00E6471E">
    <w:pPr>
      <w:tabs>
        <w:tab w:val="center" w:pos="4513"/>
        <w:tab w:val="right" w:pos="9026"/>
      </w:tabs>
      <w:spacing w:after="0"/>
      <w:rPr>
        <w:rFonts w:ascii="Arial" w:eastAsia="Arial" w:hAnsi="Arial"/>
        <w:sz w:val="20"/>
        <w:szCs w:val="20"/>
      </w:rPr>
    </w:pPr>
  </w:p>
  <w:p w14:paraId="7684240D" w14:textId="48FDDBC3" w:rsidR="00E6471E" w:rsidRDefault="009360EE">
    <w:pPr>
      <w:tabs>
        <w:tab w:val="center" w:pos="4513"/>
        <w:tab w:val="right" w:pos="9026"/>
      </w:tabs>
      <w:spacing w:after="0"/>
      <w:rPr>
        <w:rFonts w:ascii="Arial" w:eastAsia="Arial" w:hAnsi="Arial"/>
        <w:sz w:val="20"/>
        <w:szCs w:val="20"/>
      </w:rPr>
    </w:pPr>
    <w:r>
      <w:rPr>
        <w:rFonts w:ascii="Arial" w:eastAsia="Arial" w:hAnsi="Arial"/>
        <w:sz w:val="20"/>
        <w:szCs w:val="20"/>
      </w:rPr>
      <w:t>Framework Ref: RM6360</w:t>
    </w:r>
  </w:p>
  <w:p w14:paraId="4667FB76" w14:textId="77777777" w:rsidR="00E6471E" w:rsidRDefault="009360E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1E26B7B5" w14:textId="77777777" w:rsidR="00E6471E" w:rsidRDefault="009360EE">
    <w:pPr>
      <w:tabs>
        <w:tab w:val="center" w:pos="4513"/>
        <w:tab w:val="right" w:pos="9026"/>
      </w:tabs>
      <w:spacing w:after="0"/>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1C78" w14:textId="77777777" w:rsidR="00E6471E" w:rsidRDefault="009360EE">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14:paraId="0822F393" w14:textId="77777777" w:rsidR="00E6471E" w:rsidRDefault="009360E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D45C67">
      <w:rPr>
        <w:rFonts w:ascii="Arial" w:eastAsia="Arial" w:hAnsi="Arial"/>
        <w:color w:val="000000"/>
        <w:sz w:val="20"/>
        <w:szCs w:val="20"/>
      </w:rPr>
      <w:fldChar w:fldCharType="separate"/>
    </w:r>
    <w:r>
      <w:rPr>
        <w:rFonts w:ascii="Arial" w:eastAsia="Arial" w:hAnsi="Arial"/>
        <w:color w:val="000000"/>
        <w:sz w:val="20"/>
        <w:szCs w:val="20"/>
      </w:rPr>
      <w:fldChar w:fldCharType="end"/>
    </w:r>
  </w:p>
  <w:p w14:paraId="3FE708EC" w14:textId="77777777" w:rsidR="00E6471E" w:rsidRDefault="009360EE">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7CE8A" w14:textId="77777777" w:rsidR="009360EE" w:rsidRDefault="009360EE">
      <w:pPr>
        <w:spacing w:after="0"/>
      </w:pPr>
      <w:r>
        <w:separator/>
      </w:r>
    </w:p>
  </w:footnote>
  <w:footnote w:type="continuationSeparator" w:id="0">
    <w:p w14:paraId="7ABF8CB2" w14:textId="77777777" w:rsidR="009360EE" w:rsidRDefault="009360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4F08E" w14:textId="77777777" w:rsidR="00E6471E" w:rsidRDefault="009360E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14:paraId="6B6D6055" w14:textId="77777777" w:rsidR="00E6471E" w:rsidRDefault="009360E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5E159AAF" w14:textId="75E0F5CD" w:rsidR="00E6471E" w:rsidRDefault="009360E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25</w:t>
    </w:r>
  </w:p>
  <w:p w14:paraId="7DDC0483" w14:textId="77777777" w:rsidR="00E6471E" w:rsidRDefault="00E6471E">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66AFD" w14:textId="77777777" w:rsidR="00E6471E" w:rsidRDefault="009360EE">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14:anchorId="5DA0800E" wp14:editId="715D7312">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060FB3"/>
    <w:multiLevelType w:val="multilevel"/>
    <w:tmpl w:val="E856BC7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Calibri" w:hAnsi="Arial" w:cs="Arial" w:hint="default"/>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0360DFC"/>
    <w:multiLevelType w:val="multilevel"/>
    <w:tmpl w:val="73F61DE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17608519">
    <w:abstractNumId w:val="0"/>
  </w:num>
  <w:num w:numId="2" w16cid:durableId="628770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71E"/>
    <w:rsid w:val="00023C08"/>
    <w:rsid w:val="009360EE"/>
    <w:rsid w:val="009E5CA9"/>
    <w:rsid w:val="00AE5520"/>
    <w:rsid w:val="00D45C67"/>
    <w:rsid w:val="00E647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C95BE"/>
  <w15:docId w15:val="{66606C70-B277-4F21-BD31-020A35643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ZSE1HGS5cl2dxGvgKVkiQj2/FvA==">AMUW2mVe5Eqylro24WobrMaQshEK16q1/viUru2QQxNrsmpZyKykUGAs88Z3JHRujr6ZEP121AozsYKXzmivpfA3klzgvnFUmaSxtujAuIh2v2oCzYBkn/PZFxAPnoHu+6RfxcSYgWIdFCDkV+rPjc7WjQ7DoLUo4J9P/EjNnQBd5tq8NWlX4gC/wvoLmvAN5d9a+ituRQPf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1227</Words>
  <Characters>6998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Government Legal Department</Company>
  <LinksUpToDate>false</LinksUpToDate>
  <CharactersWithSpaces>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Cassandra Keogh</cp:lastModifiedBy>
  <cp:revision>3</cp:revision>
  <dcterms:created xsi:type="dcterms:W3CDTF">2018-07-23T07:42:00Z</dcterms:created>
  <dcterms:modified xsi:type="dcterms:W3CDTF">2025-02-14T09:44:00Z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